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3E34F"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20FDB536"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48DC2328"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166F8D24"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4DE4CFE2"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72AE0D4F" w14:textId="50865E84"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r w:rsidRPr="0072335E">
        <w:rPr>
          <w:rFonts w:ascii="Times New Roman" w:hAnsi="Times New Roman" w:cs="Times New Roman"/>
          <w:color w:val="1D1D1D"/>
          <w:sz w:val="24"/>
          <w:szCs w:val="24"/>
          <w:shd w:val="clear" w:color="auto" w:fill="FFFFFF"/>
        </w:rPr>
        <w:t>Transgender Community</w:t>
      </w:r>
    </w:p>
    <w:p w14:paraId="058B1E5C" w14:textId="3E7F03D8"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Student’s Name </w:t>
      </w:r>
    </w:p>
    <w:p w14:paraId="29C34C50" w14:textId="5853F5B8"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Instructor’s Name </w:t>
      </w:r>
    </w:p>
    <w:p w14:paraId="28068A62" w14:textId="70CC1D2E" w:rsidR="0072335E" w:rsidRDefault="0072335E" w:rsidP="0072335E">
      <w:pPr>
        <w:spacing w:line="480" w:lineRule="auto"/>
        <w:ind w:firstLine="720"/>
        <w:jc w:val="center"/>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Date </w:t>
      </w:r>
    </w:p>
    <w:p w14:paraId="609C1E44" w14:textId="77777777" w:rsidR="0072335E" w:rsidRDefault="0072335E" w:rsidP="00EA6DB0">
      <w:pPr>
        <w:spacing w:line="480" w:lineRule="auto"/>
        <w:ind w:firstLine="720"/>
        <w:rPr>
          <w:rFonts w:ascii="Times New Roman" w:hAnsi="Times New Roman" w:cs="Times New Roman"/>
          <w:sz w:val="24"/>
          <w:szCs w:val="24"/>
        </w:rPr>
      </w:pPr>
    </w:p>
    <w:p w14:paraId="5FAF93E5" w14:textId="77777777" w:rsidR="0072335E" w:rsidRDefault="0072335E" w:rsidP="00EA6DB0">
      <w:pPr>
        <w:spacing w:line="480" w:lineRule="auto"/>
        <w:ind w:firstLine="720"/>
        <w:rPr>
          <w:rFonts w:ascii="Times New Roman" w:hAnsi="Times New Roman" w:cs="Times New Roman"/>
          <w:sz w:val="24"/>
          <w:szCs w:val="24"/>
        </w:rPr>
      </w:pPr>
    </w:p>
    <w:p w14:paraId="6BF38C0C" w14:textId="77777777" w:rsidR="0072335E" w:rsidRDefault="0072335E" w:rsidP="00EA6DB0">
      <w:pPr>
        <w:spacing w:line="480" w:lineRule="auto"/>
        <w:ind w:firstLine="720"/>
        <w:rPr>
          <w:rFonts w:ascii="Times New Roman" w:hAnsi="Times New Roman" w:cs="Times New Roman"/>
          <w:sz w:val="24"/>
          <w:szCs w:val="24"/>
        </w:rPr>
      </w:pPr>
    </w:p>
    <w:p w14:paraId="2265DBD8" w14:textId="77777777" w:rsidR="0072335E" w:rsidRDefault="0072335E" w:rsidP="00EA6DB0">
      <w:pPr>
        <w:spacing w:line="480" w:lineRule="auto"/>
        <w:ind w:firstLine="720"/>
        <w:rPr>
          <w:rFonts w:ascii="Times New Roman" w:hAnsi="Times New Roman" w:cs="Times New Roman"/>
          <w:sz w:val="24"/>
          <w:szCs w:val="24"/>
        </w:rPr>
      </w:pPr>
    </w:p>
    <w:p w14:paraId="45E36865" w14:textId="77777777" w:rsidR="0072335E" w:rsidRDefault="0072335E" w:rsidP="00EA6DB0">
      <w:pPr>
        <w:spacing w:line="480" w:lineRule="auto"/>
        <w:ind w:firstLine="720"/>
        <w:rPr>
          <w:rFonts w:ascii="Times New Roman" w:hAnsi="Times New Roman" w:cs="Times New Roman"/>
          <w:sz w:val="24"/>
          <w:szCs w:val="24"/>
        </w:rPr>
      </w:pPr>
    </w:p>
    <w:p w14:paraId="1B60976B" w14:textId="77777777" w:rsidR="0072335E" w:rsidRDefault="0072335E" w:rsidP="006471A7">
      <w:pPr>
        <w:spacing w:line="480" w:lineRule="auto"/>
        <w:rPr>
          <w:rFonts w:ascii="Times New Roman" w:hAnsi="Times New Roman" w:cs="Times New Roman"/>
          <w:color w:val="1D1D1D"/>
          <w:sz w:val="24"/>
          <w:szCs w:val="24"/>
          <w:shd w:val="clear" w:color="auto" w:fill="FFFFFF"/>
        </w:rPr>
      </w:pPr>
    </w:p>
    <w:p w14:paraId="75266807" w14:textId="77777777" w:rsidR="006471A7" w:rsidRDefault="006471A7">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2CAD0159" w14:textId="2E9715A7" w:rsidR="0072335E" w:rsidRDefault="0072335E" w:rsidP="006471A7">
      <w:pPr>
        <w:spacing w:line="480" w:lineRule="auto"/>
        <w:ind w:firstLine="720"/>
        <w:jc w:val="center"/>
        <w:rPr>
          <w:rFonts w:ascii="Times New Roman" w:hAnsi="Times New Roman" w:cs="Times New Roman"/>
          <w:sz w:val="24"/>
          <w:szCs w:val="24"/>
        </w:rPr>
      </w:pPr>
      <w:r w:rsidRPr="0072335E">
        <w:rPr>
          <w:rFonts w:ascii="Times New Roman" w:hAnsi="Times New Roman" w:cs="Times New Roman"/>
          <w:color w:val="1D1D1D"/>
          <w:sz w:val="24"/>
          <w:szCs w:val="24"/>
          <w:shd w:val="clear" w:color="auto" w:fill="FFFFFF"/>
        </w:rPr>
        <w:lastRenderedPageBreak/>
        <w:t>Transgender Community</w:t>
      </w:r>
    </w:p>
    <w:p w14:paraId="0D9BCECE" w14:textId="0081D06B"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Transgender refers to an individual whose gender identity is varied from </w:t>
      </w:r>
      <w:bookmarkStart w:id="0" w:name="_GoBack"/>
      <w:bookmarkEnd w:id="0"/>
      <w:r w:rsidRPr="00EA6DB0">
        <w:rPr>
          <w:rFonts w:ascii="Times New Roman" w:hAnsi="Times New Roman" w:cs="Times New Roman"/>
          <w:sz w:val="24"/>
          <w:szCs w:val="24"/>
        </w:rPr>
        <w:t>sex assigned to them at birth. For instance, a transgender individual can be a kid that was designated a “girl” by doctors at the time of birth, but as the kid grew up, they noticed they were of a different gender from what they had been assigned. Moreover, it is worth noting that transgender is not limited to female-to-male and male-to-female. As a matter of fact, the transgender community also encompasses people who hold on the belief that they are genderless, genders that alternate daily and they are “fluid.”</w:t>
      </w:r>
    </w:p>
    <w:p w14:paraId="2D597C65" w14:textId="73269344"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What I understand about the transgender community is that they are people with feelings, just like other members of the community. Ame</w:t>
      </w:r>
      <w:r w:rsidR="006471A7">
        <w:rPr>
          <w:rFonts w:ascii="Times New Roman" w:hAnsi="Times New Roman" w:cs="Times New Roman"/>
          <w:sz w:val="24"/>
          <w:szCs w:val="24"/>
        </w:rPr>
        <w:t>rican Psychological Association</w:t>
      </w:r>
      <w:r w:rsidRPr="00EA6DB0">
        <w:rPr>
          <w:rFonts w:ascii="Times New Roman" w:hAnsi="Times New Roman" w:cs="Times New Roman"/>
          <w:sz w:val="24"/>
          <w:szCs w:val="24"/>
        </w:rPr>
        <w:t xml:space="preserve"> (2015) asserts that when the society fails to understand individuals from a marginalized community, it is common for such members of the community to be dehumanized. However, the truth is that transgender individuals are humans, and therefore, all humans have feelings. Another element that is worth understanding is that as a people, we should refrain from discussing what is beneath the clothes of transgender without their permission. It is a show of disrespect to inquire a transgender individual the chemistry of their body without clothes. </w:t>
      </w:r>
    </w:p>
    <w:p w14:paraId="5D05F413" w14:textId="77777777"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If a transgender person is happy about having a discussion concerning their body that is commendable and thumps up for them, but that discussion should be controlled by the affected person and should cease their request. Additionally, I also understand that transitioning among the transgender community is not an act of selfishness. The transition process can include medical transition, name transition as well as a social transition (American Psychological Association, 2015). Nevertheless, transitioning implies that an individual is eventually comfortable with the chemistry of their body, and they are prepared to live as their authentic self.  </w:t>
      </w:r>
    </w:p>
    <w:p w14:paraId="48715E62" w14:textId="35142835"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lastRenderedPageBreak/>
        <w:t xml:space="preserve">The most important facts I can learn about the transgender community include knowing that pronouns count a lot. Since gender identity is usually hard-won among most transgender people, it is, therefore, better to learn that it is hurting when I refer to them by using a wrong pronoun. When a gender person is called using pronouns, he/him/her when the person prefers being called, she/her/hers, they automatically start to close up, and they no longer feel like they are in a secure space. It invalidates all the efforts the person invested in accepting and loving their appropriate gender, and it can adversely set back their emotional progress. Therefore, it is prudent to ask their pronouns respectfully and privately. </w:t>
      </w:r>
    </w:p>
    <w:p w14:paraId="403EBB81" w14:textId="77777777"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The story of a person’s gender should be treated as personal. The idea of celebrating diversity in gender is incredible. Not all transgender persons would feel happy to discuss their gender. I should understand that every story is unique at a personal level, and while details may look alike, the lives of transgender may appear diverse just like the community of cisgender individuals. Since coming out and discussing their lives is not often a positive occurrence, it is best not to overlook the fact that not everyone is comfortable sharing their story. </w:t>
      </w:r>
    </w:p>
    <w:p w14:paraId="41AC1EE7" w14:textId="77777777"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Human services play an integral role in helping the transgender to understand, accept and work with the transgender community. To help overcome the barriers to human rights among the trans people human services can try to implement measures that are imperative as well as self-evident practices, given that all nations are required to offer equal standards of treatment under the international law across all human beings. Considering these elements is fundamental to adequately addressing the issue of marginalization that transgender individuals experience. Such practices can yield dramatic benefits such as full participation of transgender persons in development processes and positive health and HIV results. For transgender people to be </w:t>
      </w:r>
      <w:r w:rsidRPr="00EA6DB0">
        <w:rPr>
          <w:rFonts w:ascii="Times New Roman" w:hAnsi="Times New Roman" w:cs="Times New Roman"/>
          <w:sz w:val="24"/>
          <w:szCs w:val="24"/>
        </w:rPr>
        <w:lastRenderedPageBreak/>
        <w:t xml:space="preserve">accepted, the human services must ensure to create awareness about the society acknowledging their gender identity. </w:t>
      </w:r>
    </w:p>
    <w:p w14:paraId="032A51FF" w14:textId="77777777"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Furthermore, the human services can intervene for trans people to be recognized as human beings by guaranteeing the composition of entitlement that the majority of the society assume or take for granted. Such services should begin by advocating for fundamental rights that accept the legal personhood of trans people. In many nations by practice or law, transgender communities are denied acceptance as legitimate persons. The fundamental section of their gender and identity goes unrecognized. The recognition of the gender of trans people is crucial to have the inherent dignity of transgender community respected as well as among other rights, their basic right to quality healthcare including protection against HIV (Winter et al., 2016). Therefore, the human service can advocate for their rights in society to avoid adverse impediments to trans people in enjoying necessary health information. </w:t>
      </w:r>
    </w:p>
    <w:p w14:paraId="43D046FF" w14:textId="0046D651" w:rsidR="00EA6DB0" w:rsidRDefault="00EA6DB0" w:rsidP="006471A7">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Additionally, human services can advocate for systematic strategies to eradicate violence and discrimination against transgender communities. This can be achieved by making perpetrators of violence and discrimination accountable, advocating for policy and legal reforms that eliminate criminality and overall campaigns to create awareness concerning the ill-informed about the issue of trans people. Strengthening the potential of trans organizations and collectives to claim the rights of transgender can assist in stopping the impunity of violence (Westbrook &amp; Schilt, 2014). Moreover, when transgender is given legal access and aid to judicial processes, the perpetrators can be held accountable — sensitizing the law enforcing agencies to make the transgender communities their partner can help i</w:t>
      </w:r>
      <w:r w:rsidR="006471A7">
        <w:rPr>
          <w:rFonts w:ascii="Times New Roman" w:hAnsi="Times New Roman" w:cs="Times New Roman"/>
          <w:sz w:val="24"/>
          <w:szCs w:val="24"/>
        </w:rPr>
        <w:t xml:space="preserve">n accepting these communities. </w:t>
      </w:r>
    </w:p>
    <w:p w14:paraId="51A9272D" w14:textId="77777777" w:rsidR="006471A7" w:rsidRDefault="006471A7">
      <w:pPr>
        <w:rPr>
          <w:rFonts w:ascii="Times New Roman" w:hAnsi="Times New Roman" w:cs="Times New Roman"/>
          <w:sz w:val="24"/>
          <w:szCs w:val="24"/>
        </w:rPr>
      </w:pPr>
      <w:r>
        <w:rPr>
          <w:rFonts w:ascii="Times New Roman" w:hAnsi="Times New Roman" w:cs="Times New Roman"/>
          <w:sz w:val="24"/>
          <w:szCs w:val="24"/>
        </w:rPr>
        <w:br w:type="page"/>
      </w:r>
    </w:p>
    <w:p w14:paraId="1E87AC5E" w14:textId="38989C18" w:rsidR="00EA6DB0" w:rsidRPr="00EA6DB0" w:rsidRDefault="00EA6DB0" w:rsidP="00EA6DB0">
      <w:pPr>
        <w:spacing w:line="480" w:lineRule="auto"/>
        <w:jc w:val="center"/>
        <w:rPr>
          <w:rFonts w:ascii="Times New Roman" w:hAnsi="Times New Roman" w:cs="Times New Roman"/>
          <w:sz w:val="24"/>
          <w:szCs w:val="24"/>
        </w:rPr>
      </w:pPr>
      <w:r w:rsidRPr="00EA6DB0">
        <w:rPr>
          <w:rFonts w:ascii="Times New Roman" w:hAnsi="Times New Roman" w:cs="Times New Roman"/>
          <w:sz w:val="24"/>
          <w:szCs w:val="24"/>
        </w:rPr>
        <w:lastRenderedPageBreak/>
        <w:t>References</w:t>
      </w:r>
    </w:p>
    <w:p w14:paraId="7166B68D" w14:textId="77777777" w:rsidR="0072335E" w:rsidRPr="00EA6DB0" w:rsidRDefault="0072335E" w:rsidP="0072335E">
      <w:pPr>
        <w:spacing w:line="480" w:lineRule="auto"/>
        <w:ind w:left="720" w:hanging="720"/>
        <w:rPr>
          <w:rFonts w:ascii="Times New Roman" w:hAnsi="Times New Roman" w:cs="Times New Roman"/>
          <w:sz w:val="24"/>
          <w:szCs w:val="24"/>
        </w:rPr>
      </w:pPr>
      <w:r w:rsidRPr="00EA6DB0">
        <w:rPr>
          <w:rFonts w:ascii="Times New Roman" w:hAnsi="Times New Roman" w:cs="Times New Roman"/>
          <w:color w:val="222222"/>
          <w:sz w:val="24"/>
          <w:szCs w:val="24"/>
          <w:shd w:val="clear" w:color="auto" w:fill="FFFFFF"/>
        </w:rPr>
        <w:t>American Psychological Association. (2015). Guidelines for psychological practice with transgender and gender nonconforming people. </w:t>
      </w:r>
      <w:r w:rsidRPr="00EA6DB0">
        <w:rPr>
          <w:rFonts w:ascii="Times New Roman" w:hAnsi="Times New Roman" w:cs="Times New Roman"/>
          <w:i/>
          <w:iCs/>
          <w:color w:val="222222"/>
          <w:sz w:val="24"/>
          <w:szCs w:val="24"/>
          <w:shd w:val="clear" w:color="auto" w:fill="FFFFFF"/>
        </w:rPr>
        <w:t>American Psychologist</w:t>
      </w:r>
      <w:r w:rsidRPr="00EA6DB0">
        <w:rPr>
          <w:rFonts w:ascii="Times New Roman" w:hAnsi="Times New Roman" w:cs="Times New Roman"/>
          <w:color w:val="222222"/>
          <w:sz w:val="24"/>
          <w:szCs w:val="24"/>
          <w:shd w:val="clear" w:color="auto" w:fill="FFFFFF"/>
        </w:rPr>
        <w:t>, </w:t>
      </w:r>
      <w:r w:rsidRPr="00EA6DB0">
        <w:rPr>
          <w:rFonts w:ascii="Times New Roman" w:hAnsi="Times New Roman" w:cs="Times New Roman"/>
          <w:i/>
          <w:iCs/>
          <w:color w:val="222222"/>
          <w:sz w:val="24"/>
          <w:szCs w:val="24"/>
          <w:shd w:val="clear" w:color="auto" w:fill="FFFFFF"/>
        </w:rPr>
        <w:t>70</w:t>
      </w:r>
      <w:r w:rsidRPr="00EA6DB0">
        <w:rPr>
          <w:rFonts w:ascii="Times New Roman" w:hAnsi="Times New Roman" w:cs="Times New Roman"/>
          <w:color w:val="222222"/>
          <w:sz w:val="24"/>
          <w:szCs w:val="24"/>
          <w:shd w:val="clear" w:color="auto" w:fill="FFFFFF"/>
        </w:rPr>
        <w:t>(9), 832-864.</w:t>
      </w:r>
    </w:p>
    <w:p w14:paraId="0C762B59" w14:textId="77777777" w:rsidR="0072335E" w:rsidRPr="00EA6DB0" w:rsidRDefault="0072335E" w:rsidP="0072335E">
      <w:pPr>
        <w:spacing w:line="480" w:lineRule="auto"/>
        <w:ind w:left="720" w:hanging="720"/>
        <w:rPr>
          <w:rFonts w:ascii="Times New Roman" w:hAnsi="Times New Roman" w:cs="Times New Roman"/>
          <w:color w:val="222222"/>
          <w:sz w:val="24"/>
          <w:szCs w:val="24"/>
          <w:shd w:val="clear" w:color="auto" w:fill="FFFFFF"/>
        </w:rPr>
      </w:pPr>
      <w:r w:rsidRPr="00EA6DB0">
        <w:rPr>
          <w:rFonts w:ascii="Times New Roman" w:hAnsi="Times New Roman" w:cs="Times New Roman"/>
          <w:color w:val="222222"/>
          <w:sz w:val="24"/>
          <w:szCs w:val="24"/>
          <w:shd w:val="clear" w:color="auto" w:fill="FFFFFF"/>
        </w:rPr>
        <w:t>Westbrook, L., &amp; Schilt, K. (2014). Doing gender, determining gender: Transgender people, gender panics, and the maintenance of the sex/gender/sexuality system. </w:t>
      </w:r>
      <w:r w:rsidRPr="00EA6DB0">
        <w:rPr>
          <w:rFonts w:ascii="Times New Roman" w:hAnsi="Times New Roman" w:cs="Times New Roman"/>
          <w:i/>
          <w:iCs/>
          <w:color w:val="222222"/>
          <w:sz w:val="24"/>
          <w:szCs w:val="24"/>
          <w:shd w:val="clear" w:color="auto" w:fill="FFFFFF"/>
        </w:rPr>
        <w:t>Gender &amp; Society</w:t>
      </w:r>
      <w:r w:rsidRPr="00EA6DB0">
        <w:rPr>
          <w:rFonts w:ascii="Times New Roman" w:hAnsi="Times New Roman" w:cs="Times New Roman"/>
          <w:color w:val="222222"/>
          <w:sz w:val="24"/>
          <w:szCs w:val="24"/>
          <w:shd w:val="clear" w:color="auto" w:fill="FFFFFF"/>
        </w:rPr>
        <w:t>, </w:t>
      </w:r>
      <w:r w:rsidRPr="00EA6DB0">
        <w:rPr>
          <w:rFonts w:ascii="Times New Roman" w:hAnsi="Times New Roman" w:cs="Times New Roman"/>
          <w:i/>
          <w:iCs/>
          <w:color w:val="222222"/>
          <w:sz w:val="24"/>
          <w:szCs w:val="24"/>
          <w:shd w:val="clear" w:color="auto" w:fill="FFFFFF"/>
        </w:rPr>
        <w:t>28</w:t>
      </w:r>
      <w:r w:rsidRPr="00EA6DB0">
        <w:rPr>
          <w:rFonts w:ascii="Times New Roman" w:hAnsi="Times New Roman" w:cs="Times New Roman"/>
          <w:color w:val="222222"/>
          <w:sz w:val="24"/>
          <w:szCs w:val="24"/>
          <w:shd w:val="clear" w:color="auto" w:fill="FFFFFF"/>
        </w:rPr>
        <w:t>(1), 32-57.</w:t>
      </w:r>
    </w:p>
    <w:p w14:paraId="2C69AD01" w14:textId="77777777" w:rsidR="0072335E" w:rsidRPr="00EA6DB0" w:rsidRDefault="0072335E" w:rsidP="0072335E">
      <w:pPr>
        <w:spacing w:line="480" w:lineRule="auto"/>
        <w:ind w:left="720" w:hanging="720"/>
        <w:rPr>
          <w:rFonts w:ascii="Times New Roman" w:hAnsi="Times New Roman" w:cs="Times New Roman"/>
          <w:color w:val="222222"/>
          <w:sz w:val="24"/>
          <w:szCs w:val="24"/>
          <w:shd w:val="clear" w:color="auto" w:fill="FFFFFF"/>
        </w:rPr>
      </w:pPr>
      <w:r w:rsidRPr="00EA6DB0">
        <w:rPr>
          <w:rFonts w:ascii="Times New Roman" w:hAnsi="Times New Roman" w:cs="Times New Roman"/>
          <w:color w:val="222222"/>
          <w:sz w:val="24"/>
          <w:szCs w:val="24"/>
          <w:shd w:val="clear" w:color="auto" w:fill="FFFFFF"/>
        </w:rPr>
        <w:t xml:space="preserve">Winter, S., Diamond, M., Green, J., </w:t>
      </w:r>
      <w:proofErr w:type="spellStart"/>
      <w:r w:rsidRPr="00EA6DB0">
        <w:rPr>
          <w:rFonts w:ascii="Times New Roman" w:hAnsi="Times New Roman" w:cs="Times New Roman"/>
          <w:color w:val="222222"/>
          <w:sz w:val="24"/>
          <w:szCs w:val="24"/>
          <w:shd w:val="clear" w:color="auto" w:fill="FFFFFF"/>
        </w:rPr>
        <w:t>Karasic</w:t>
      </w:r>
      <w:proofErr w:type="spellEnd"/>
      <w:r w:rsidRPr="00EA6DB0">
        <w:rPr>
          <w:rFonts w:ascii="Times New Roman" w:hAnsi="Times New Roman" w:cs="Times New Roman"/>
          <w:color w:val="222222"/>
          <w:sz w:val="24"/>
          <w:szCs w:val="24"/>
          <w:shd w:val="clear" w:color="auto" w:fill="FFFFFF"/>
        </w:rPr>
        <w:t>, D., Reed, T., Whittle, S., &amp; Wylie, K. (2016). Transgender people: health at the margins of society. </w:t>
      </w:r>
      <w:r w:rsidRPr="00EA6DB0">
        <w:rPr>
          <w:rFonts w:ascii="Times New Roman" w:hAnsi="Times New Roman" w:cs="Times New Roman"/>
          <w:i/>
          <w:iCs/>
          <w:color w:val="222222"/>
          <w:sz w:val="24"/>
          <w:szCs w:val="24"/>
          <w:shd w:val="clear" w:color="auto" w:fill="FFFFFF"/>
        </w:rPr>
        <w:t>The Lancet</w:t>
      </w:r>
      <w:r w:rsidRPr="00EA6DB0">
        <w:rPr>
          <w:rFonts w:ascii="Times New Roman" w:hAnsi="Times New Roman" w:cs="Times New Roman"/>
          <w:color w:val="222222"/>
          <w:sz w:val="24"/>
          <w:szCs w:val="24"/>
          <w:shd w:val="clear" w:color="auto" w:fill="FFFFFF"/>
        </w:rPr>
        <w:t>, </w:t>
      </w:r>
      <w:r w:rsidRPr="00EA6DB0">
        <w:rPr>
          <w:rFonts w:ascii="Times New Roman" w:hAnsi="Times New Roman" w:cs="Times New Roman"/>
          <w:i/>
          <w:iCs/>
          <w:color w:val="222222"/>
          <w:sz w:val="24"/>
          <w:szCs w:val="24"/>
          <w:shd w:val="clear" w:color="auto" w:fill="FFFFFF"/>
        </w:rPr>
        <w:t>388</w:t>
      </w:r>
      <w:r w:rsidRPr="00EA6DB0">
        <w:rPr>
          <w:rFonts w:ascii="Times New Roman" w:hAnsi="Times New Roman" w:cs="Times New Roman"/>
          <w:color w:val="222222"/>
          <w:sz w:val="24"/>
          <w:szCs w:val="24"/>
          <w:shd w:val="clear" w:color="auto" w:fill="FFFFFF"/>
        </w:rPr>
        <w:t>(10042), 390-400.</w:t>
      </w:r>
    </w:p>
    <w:sectPr w:rsidR="0072335E" w:rsidRPr="00EA6DB0" w:rsidSect="007233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4B0EBA" w14:textId="77777777" w:rsidR="0046056A" w:rsidRDefault="0046056A" w:rsidP="0072335E">
      <w:pPr>
        <w:spacing w:after="0" w:line="240" w:lineRule="auto"/>
      </w:pPr>
      <w:r>
        <w:separator/>
      </w:r>
    </w:p>
  </w:endnote>
  <w:endnote w:type="continuationSeparator" w:id="0">
    <w:p w14:paraId="5719A1FC" w14:textId="77777777" w:rsidR="0046056A" w:rsidRDefault="0046056A" w:rsidP="00723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6652E7" w14:textId="77777777" w:rsidR="0046056A" w:rsidRDefault="0046056A" w:rsidP="0072335E">
      <w:pPr>
        <w:spacing w:after="0" w:line="240" w:lineRule="auto"/>
      </w:pPr>
      <w:r>
        <w:separator/>
      </w:r>
    </w:p>
  </w:footnote>
  <w:footnote w:type="continuationSeparator" w:id="0">
    <w:p w14:paraId="28851A8E" w14:textId="77777777" w:rsidR="0046056A" w:rsidRDefault="0046056A" w:rsidP="00723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8F447" w14:textId="2678FF9D" w:rsidR="0072335E" w:rsidRPr="008433B6" w:rsidRDefault="0072335E">
    <w:pPr>
      <w:pStyle w:val="Header"/>
      <w:rPr>
        <w:rFonts w:ascii="Times New Roman" w:hAnsi="Times New Roman" w:cs="Times New Roman"/>
        <w:sz w:val="24"/>
        <w:szCs w:val="24"/>
      </w:rPr>
    </w:pPr>
    <w:r w:rsidRPr="008433B6">
      <w:rPr>
        <w:rFonts w:ascii="Times New Roman" w:hAnsi="Times New Roman" w:cs="Times New Roman"/>
        <w:color w:val="1D1D1D"/>
        <w:sz w:val="24"/>
        <w:szCs w:val="24"/>
        <w:shd w:val="clear" w:color="auto" w:fill="FFFFFF"/>
      </w:rPr>
      <w:t>TRANSGENDER COMMUNITY</w:t>
    </w:r>
    <w:r w:rsidRPr="008433B6">
      <w:rPr>
        <w:rFonts w:ascii="Times New Roman" w:hAnsi="Times New Roman" w:cs="Times New Roman"/>
        <w:sz w:val="24"/>
        <w:szCs w:val="24"/>
      </w:rPr>
      <w:t xml:space="preserve"> </w:t>
    </w:r>
    <w:r w:rsidRPr="008433B6">
      <w:rPr>
        <w:rFonts w:ascii="Times New Roman" w:hAnsi="Times New Roman" w:cs="Times New Roman"/>
        <w:sz w:val="24"/>
        <w:szCs w:val="24"/>
      </w:rPr>
      <w:tab/>
    </w:r>
    <w:r w:rsidRPr="008433B6">
      <w:rPr>
        <w:rFonts w:ascii="Times New Roman" w:hAnsi="Times New Roman" w:cs="Times New Roman"/>
        <w:sz w:val="24"/>
        <w:szCs w:val="24"/>
      </w:rPr>
      <w:tab/>
    </w:r>
    <w:r w:rsidRPr="008433B6">
      <w:rPr>
        <w:rFonts w:ascii="Times New Roman" w:hAnsi="Times New Roman" w:cs="Times New Roman"/>
        <w:sz w:val="24"/>
        <w:szCs w:val="24"/>
      </w:rPr>
      <w:fldChar w:fldCharType="begin"/>
    </w:r>
    <w:r w:rsidRPr="008433B6">
      <w:rPr>
        <w:rFonts w:ascii="Times New Roman" w:hAnsi="Times New Roman" w:cs="Times New Roman"/>
        <w:sz w:val="24"/>
        <w:szCs w:val="24"/>
      </w:rPr>
      <w:instrText xml:space="preserve"> PAGE   \* MERGEFORMAT </w:instrText>
    </w:r>
    <w:r w:rsidRPr="008433B6">
      <w:rPr>
        <w:rFonts w:ascii="Times New Roman" w:hAnsi="Times New Roman" w:cs="Times New Roman"/>
        <w:sz w:val="24"/>
        <w:szCs w:val="24"/>
      </w:rPr>
      <w:fldChar w:fldCharType="separate"/>
    </w:r>
    <w:r w:rsidR="00531556">
      <w:rPr>
        <w:rFonts w:ascii="Times New Roman" w:hAnsi="Times New Roman" w:cs="Times New Roman"/>
        <w:noProof/>
        <w:sz w:val="24"/>
        <w:szCs w:val="24"/>
      </w:rPr>
      <w:t>2</w:t>
    </w:r>
    <w:r w:rsidRPr="008433B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7FEF2" w14:textId="66CB0ABC" w:rsidR="0072335E" w:rsidRPr="0072335E" w:rsidRDefault="0072335E">
    <w:pPr>
      <w:pStyle w:val="Header"/>
      <w:rPr>
        <w:rFonts w:ascii="Times New Roman" w:hAnsi="Times New Roman" w:cs="Times New Roman"/>
        <w:sz w:val="24"/>
        <w:szCs w:val="24"/>
      </w:rPr>
    </w:pPr>
    <w:r w:rsidRPr="0072335E">
      <w:rPr>
        <w:rFonts w:ascii="Times New Roman" w:hAnsi="Times New Roman" w:cs="Times New Roman"/>
        <w:sz w:val="24"/>
        <w:szCs w:val="24"/>
      </w:rPr>
      <w:t xml:space="preserve">Running head: </w:t>
    </w:r>
    <w:r w:rsidRPr="0072335E">
      <w:rPr>
        <w:rFonts w:ascii="Times New Roman" w:hAnsi="Times New Roman" w:cs="Times New Roman"/>
        <w:color w:val="1D1D1D"/>
        <w:sz w:val="24"/>
        <w:szCs w:val="24"/>
        <w:shd w:val="clear" w:color="auto" w:fill="FFFFFF"/>
      </w:rPr>
      <w:t>TRANSGENDER COMMUNITY</w:t>
    </w:r>
    <w:r>
      <w:rPr>
        <w:rFonts w:ascii="Times New Roman" w:hAnsi="Times New Roman" w:cs="Times New Roman"/>
        <w:color w:val="1D1D1D"/>
        <w:sz w:val="24"/>
        <w:szCs w:val="24"/>
        <w:shd w:val="clear" w:color="auto" w:fill="FFFFFF"/>
      </w:rPr>
      <w:tab/>
    </w:r>
    <w:r w:rsidRPr="0072335E">
      <w:rPr>
        <w:rFonts w:ascii="Times New Roman" w:hAnsi="Times New Roman" w:cs="Times New Roman"/>
        <w:sz w:val="24"/>
        <w:szCs w:val="24"/>
      </w:rPr>
      <w:fldChar w:fldCharType="begin"/>
    </w:r>
    <w:r w:rsidRPr="0072335E">
      <w:rPr>
        <w:rFonts w:ascii="Times New Roman" w:hAnsi="Times New Roman" w:cs="Times New Roman"/>
        <w:sz w:val="24"/>
        <w:szCs w:val="24"/>
      </w:rPr>
      <w:instrText xml:space="preserve"> PAGE   \* MERGEFORMAT </w:instrText>
    </w:r>
    <w:r w:rsidRPr="0072335E">
      <w:rPr>
        <w:rFonts w:ascii="Times New Roman" w:hAnsi="Times New Roman" w:cs="Times New Roman"/>
        <w:sz w:val="24"/>
        <w:szCs w:val="24"/>
      </w:rPr>
      <w:fldChar w:fldCharType="separate"/>
    </w:r>
    <w:r w:rsidR="00531556">
      <w:rPr>
        <w:rFonts w:ascii="Times New Roman" w:hAnsi="Times New Roman" w:cs="Times New Roman"/>
        <w:noProof/>
        <w:sz w:val="24"/>
        <w:szCs w:val="24"/>
      </w:rPr>
      <w:t>1</w:t>
    </w:r>
    <w:r w:rsidRPr="0072335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782"/>
    <w:rsid w:val="003D4AD5"/>
    <w:rsid w:val="00436426"/>
    <w:rsid w:val="0046056A"/>
    <w:rsid w:val="004F0748"/>
    <w:rsid w:val="00531556"/>
    <w:rsid w:val="005A1519"/>
    <w:rsid w:val="00602FAD"/>
    <w:rsid w:val="006471A7"/>
    <w:rsid w:val="0072335E"/>
    <w:rsid w:val="007407A4"/>
    <w:rsid w:val="0077143E"/>
    <w:rsid w:val="00777665"/>
    <w:rsid w:val="007A7F8F"/>
    <w:rsid w:val="008433B6"/>
    <w:rsid w:val="00AB3FFA"/>
    <w:rsid w:val="00AE6EC0"/>
    <w:rsid w:val="00B2766B"/>
    <w:rsid w:val="00B74CF8"/>
    <w:rsid w:val="00B814E2"/>
    <w:rsid w:val="00EA6DB0"/>
    <w:rsid w:val="00ED1782"/>
    <w:rsid w:val="00EF3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7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35E"/>
  </w:style>
  <w:style w:type="paragraph" w:styleId="Footer">
    <w:name w:val="footer"/>
    <w:basedOn w:val="Normal"/>
    <w:link w:val="FooterChar"/>
    <w:uiPriority w:val="99"/>
    <w:unhideWhenUsed/>
    <w:rsid w:val="00723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3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35E"/>
  </w:style>
  <w:style w:type="paragraph" w:styleId="Footer">
    <w:name w:val="footer"/>
    <w:basedOn w:val="Normal"/>
    <w:link w:val="FooterChar"/>
    <w:uiPriority w:val="99"/>
    <w:unhideWhenUsed/>
    <w:rsid w:val="00723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2019-07-12T00:36:00Z</dcterms:created>
  <dcterms:modified xsi:type="dcterms:W3CDTF">2019-07-12T00:36:00Z</dcterms:modified>
</cp:coreProperties>
</file>